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FD" w:rsidRPr="00B969FD" w:rsidRDefault="00B969FD" w:rsidP="00B96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1238250"/>
            <wp:effectExtent l="0" t="0" r="9525" b="0"/>
            <wp:docPr id="1" name="Рисунок 1" descr="http://vkksu.gov.ua/images/logo/vkksu_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ksu.gov.ua/images/logo/vkksu_u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FD" w:rsidRPr="00B969FD" w:rsidRDefault="00B969FD" w:rsidP="00B969F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B969F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Зразки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тестових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запитань</w:t>
      </w:r>
      <w:proofErr w:type="spellEnd"/>
    </w:p>
    <w:p w:rsidR="00B969FD" w:rsidRPr="00B969FD" w:rsidRDefault="00B969FD" w:rsidP="00B969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Зразки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тестових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запитань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,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які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можуть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використовуватися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під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час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анонімного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письмового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proofErr w:type="spellStart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тестування</w:t>
      </w:r>
      <w:proofErr w:type="spellEnd"/>
      <w:r w:rsidRPr="00B969FD">
        <w:rPr>
          <w:rFonts w:ascii="Tahoma" w:eastAsia="Times New Roman" w:hAnsi="Tahoma" w:cs="Tahoma"/>
          <w:b/>
          <w:bCs/>
          <w:color w:val="000000"/>
          <w:lang w:eastAsia="ru-RU"/>
        </w:rPr>
        <w:t>. </w:t>
      </w:r>
    </w:p>
    <w:p w:rsidR="00B969FD" w:rsidRPr="00B969FD" w:rsidRDefault="00B969FD" w:rsidP="00B969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tbl>
      <w:tblPr>
        <w:tblW w:w="15018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2"/>
        <w:gridCol w:w="3560"/>
        <w:gridCol w:w="4207"/>
        <w:gridCol w:w="5699"/>
      </w:tblGrid>
      <w:tr w:rsidR="00B969FD" w:rsidRPr="00B969FD" w:rsidTr="00B969FD">
        <w:trPr>
          <w:tblHeader/>
          <w:tblCellSpacing w:w="0" w:type="dxa"/>
        </w:trPr>
        <w:tc>
          <w:tcPr>
            <w:tcW w:w="15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№, з/п</w:t>
            </w:r>
          </w:p>
        </w:tc>
        <w:tc>
          <w:tcPr>
            <w:tcW w:w="35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Рішення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ВСУ/ЄСПЛ у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якому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викладена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правова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позиція</w:t>
            </w:r>
            <w:proofErr w:type="spellEnd"/>
          </w:p>
        </w:tc>
        <w:tc>
          <w:tcPr>
            <w:tcW w:w="42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Формулювання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тестового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запитання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основі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правової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позиції</w:t>
            </w:r>
            <w:proofErr w:type="spellEnd"/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Основні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положення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які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містяться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в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правовій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позиції</w:t>
            </w:r>
            <w:proofErr w:type="spellEnd"/>
          </w:p>
        </w:tc>
      </w:tr>
      <w:tr w:rsidR="00B969FD" w:rsidRPr="00B969FD" w:rsidTr="00B969FD">
        <w:trPr>
          <w:tblCellSpacing w:w="0" w:type="dxa"/>
        </w:trPr>
        <w:tc>
          <w:tcPr>
            <w:tcW w:w="150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Господарська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спеціалізація</w:t>
            </w:r>
            <w:bookmarkStart w:id="0" w:name="_GoBack"/>
            <w:bookmarkEnd w:id="0"/>
            <w:proofErr w:type="spellEnd"/>
          </w:p>
        </w:tc>
      </w:tr>
      <w:tr w:rsidR="00B969FD" w:rsidRPr="00B969FD" w:rsidTr="00B969FD">
        <w:trPr>
          <w:tblCellSpacing w:w="0" w:type="dxa"/>
        </w:trPr>
        <w:tc>
          <w:tcPr>
            <w:tcW w:w="1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3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Постанова Верховного Суду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20 листопада 2012 року №3-53гс12 (справа №28/5005/640/2012)</w:t>
            </w:r>
          </w:p>
        </w:tc>
        <w:tc>
          <w:tcPr>
            <w:tcW w:w="42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Охарактеризуйте право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сторони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договору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звернення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 суду з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вимогою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зміну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такого договору без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дотримання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порядку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досудового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врегулювання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спору в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розумінні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188 ГК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11 ГПУ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1.Обрання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певного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засобу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правового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захисту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у тому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числі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і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досудового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врегулювання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спору, є правом, а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обов’язком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особи, яка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добровільно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виходячи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інтересів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використовує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2.Недотримання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позивачем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вимог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частини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188 ГК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щодо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обов’язку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надсилання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іншій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стороні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пропозицій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зміну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умов договору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оренди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земельної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ділянки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позбавляє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права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звернутися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 суду з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позовом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відповідача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зміну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умов договору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наявності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спору,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тобто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відсутності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згоди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зміну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умов договору.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B969FD" w:rsidRPr="00B969FD" w:rsidTr="00B969FD">
        <w:trPr>
          <w:tblCellSpacing w:w="0" w:type="dxa"/>
        </w:trPr>
        <w:tc>
          <w:tcPr>
            <w:tcW w:w="1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Постанова Верховного Суду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19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березня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2014 р. № 6-9 цс14;</w:t>
            </w:r>
          </w:p>
        </w:tc>
        <w:tc>
          <w:tcPr>
            <w:tcW w:w="42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Підстави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договору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дарування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недійсним</w:t>
            </w:r>
            <w:proofErr w:type="spellEnd"/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Відповідно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717 ЦК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договором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дарування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одна сторона (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дарувальник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)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передає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зобов’язується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передати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в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майбутньому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другій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стороні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(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обдаровуваному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)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безоплатно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майно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(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дарунок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)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власність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Виходячи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змісту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статей 203, 717 ЦК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договір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дарування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вважається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укладеним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сторони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мають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повну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уяву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лише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про предмет договору, а й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досягли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згоди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всі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істотні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умови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особа, яка вчинила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правочин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помилилася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щодо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обставин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мають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істотне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значення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такий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правочин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може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бути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судом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недійсним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3.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Правочин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вчинений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впливом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помилки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обману,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насильства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зловмисної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домовленості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представника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однієї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сторони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 другою стороною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внаслідок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впливу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тяжкої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обставини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є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оспорюваним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4.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Відсутність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особи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час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укладення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договору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дарування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волевиявлення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безоплатну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передачу </w:t>
            </w: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 xml:space="preserve">майна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власність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обдарованого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й передача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умови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вчинення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користь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дарувальника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будь-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майнового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немайнового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характеру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всупереч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вимогам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т..717 ЦК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є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підставою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договору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дарування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недійсним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відповідно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 ч.3 ст.203 та т..229 ЦК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</w:tc>
      </w:tr>
      <w:tr w:rsidR="00B969FD" w:rsidRPr="00B969FD" w:rsidTr="00B969FD">
        <w:trPr>
          <w:tblCellSpacing w:w="0" w:type="dxa"/>
        </w:trPr>
        <w:tc>
          <w:tcPr>
            <w:tcW w:w="150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lastRenderedPageBreak/>
              <w:t>Цивільна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спеціалізація</w:t>
            </w:r>
            <w:proofErr w:type="spellEnd"/>
          </w:p>
        </w:tc>
      </w:tr>
      <w:tr w:rsidR="00B969FD" w:rsidRPr="00B969FD" w:rsidTr="00B969FD">
        <w:trPr>
          <w:tblCellSpacing w:w="0" w:type="dxa"/>
        </w:trPr>
        <w:tc>
          <w:tcPr>
            <w:tcW w:w="1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</w:p>
        </w:tc>
        <w:tc>
          <w:tcPr>
            <w:tcW w:w="3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Постанова Верховного Суду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11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грудня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2013 </w:t>
            </w:r>
            <w:proofErr w:type="gram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р. ,</w:t>
            </w:r>
            <w:proofErr w:type="gram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№6-121цс13</w:t>
            </w:r>
          </w:p>
        </w:tc>
        <w:tc>
          <w:tcPr>
            <w:tcW w:w="42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спадкоємцем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права на квартиру державного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житлового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фонду, в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якій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життя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проживав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спадкодавець</w:t>
            </w:r>
            <w:proofErr w:type="spellEnd"/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 Право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приватизацію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квартири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яка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належить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 державного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житлового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фонду,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мають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особи,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постійно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проживають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цій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квартирі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.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отримання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права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житло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особа повинна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звернутись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відповідного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органу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приватизації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належно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оформленною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заявою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яка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підлягає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розгляду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вказаним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органом у строк,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передбачений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чинним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законодавством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Утому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разі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коли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громадянин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висловив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волю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приватизацію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займаної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ним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квартири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помер до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прийняття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компетентним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органом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рішення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приватизацію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до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спадкоємців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порядку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спадкування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переходить право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вимагати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ними права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таку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квартиру.</w:t>
            </w:r>
          </w:p>
        </w:tc>
      </w:tr>
      <w:tr w:rsidR="00B969FD" w:rsidRPr="00B969FD" w:rsidTr="00B969FD">
        <w:trPr>
          <w:tblCellSpacing w:w="0" w:type="dxa"/>
        </w:trPr>
        <w:tc>
          <w:tcPr>
            <w:tcW w:w="1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gram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Постанова  Верховного</w:t>
            </w:r>
            <w:proofErr w:type="gram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Суду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16.05.2012 р,. № 6-42 цс12</w:t>
            </w:r>
          </w:p>
        </w:tc>
        <w:tc>
          <w:tcPr>
            <w:tcW w:w="42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права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будинок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збудований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без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отримання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забудовником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земельної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ділянки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забудову</w:t>
            </w:r>
            <w:proofErr w:type="spellEnd"/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змістом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т..17 ЗК та т..14 Закону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7 лютого 1991 р. №697-ХII «Про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власність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»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земельна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ділянка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будівництва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жилого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будинку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і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господарських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будівель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надається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громадянину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в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приватну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власність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а тому участь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будівництві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інших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осіб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створює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них права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приватної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жилий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будинок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крім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випадків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передбачених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законом.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Будівництво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будинку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земельній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ділянці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яка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забудовнику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відводилась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підстав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ним права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власності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вже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збудований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будинок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</w:tc>
      </w:tr>
      <w:tr w:rsidR="00B969FD" w:rsidRPr="00B969FD" w:rsidTr="00B969FD">
        <w:trPr>
          <w:tblCellSpacing w:w="0" w:type="dxa"/>
        </w:trPr>
        <w:tc>
          <w:tcPr>
            <w:tcW w:w="150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Адміністративна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спеціалізація</w:t>
            </w:r>
            <w:proofErr w:type="spellEnd"/>
          </w:p>
        </w:tc>
      </w:tr>
      <w:tr w:rsidR="00B969FD" w:rsidRPr="00B969FD" w:rsidTr="00B969FD">
        <w:trPr>
          <w:tblCellSpacing w:w="0" w:type="dxa"/>
        </w:trPr>
        <w:tc>
          <w:tcPr>
            <w:tcW w:w="1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5.</w:t>
            </w:r>
          </w:p>
        </w:tc>
        <w:tc>
          <w:tcPr>
            <w:tcW w:w="3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Постанова Верховного Суду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23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січня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2012 р., № 21-262а11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Порядок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надання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доступу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суб‘єктом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господарювання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торгового патенту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огляду</w:t>
            </w:r>
            <w:proofErr w:type="spellEnd"/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Торговий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патент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/та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ксерокопія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торгового патенту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повинні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бути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розміщені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приміщеннях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надання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послуг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сфері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грального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бізнесу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надання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побутових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послуг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бути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відкритим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доступним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огляду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Господарюючі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суб‘єкти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зобов‘язана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розміщувати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саме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оригінали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нотаріально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засвідчені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копії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розміщення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копії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патенту носить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виключно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інформаційний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характер</w:t>
            </w:r>
          </w:p>
        </w:tc>
      </w:tr>
      <w:tr w:rsidR="00B969FD" w:rsidRPr="00B969FD" w:rsidTr="00B969FD">
        <w:trPr>
          <w:tblCellSpacing w:w="0" w:type="dxa"/>
        </w:trPr>
        <w:tc>
          <w:tcPr>
            <w:tcW w:w="150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lastRenderedPageBreak/>
              <w:t>Рішення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Європейського</w:t>
            </w:r>
            <w:proofErr w:type="spellEnd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суду з прав </w:t>
            </w:r>
            <w:proofErr w:type="spellStart"/>
            <w:r w:rsidRPr="00B969FD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людини</w:t>
            </w:r>
            <w:proofErr w:type="spellEnd"/>
          </w:p>
        </w:tc>
      </w:tr>
      <w:tr w:rsidR="00B969FD" w:rsidRPr="00B969FD" w:rsidTr="00B969FD">
        <w:trPr>
          <w:tblCellSpacing w:w="0" w:type="dxa"/>
        </w:trPr>
        <w:tc>
          <w:tcPr>
            <w:tcW w:w="1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6.</w:t>
            </w:r>
          </w:p>
        </w:tc>
        <w:tc>
          <w:tcPr>
            <w:tcW w:w="3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Справа «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Вєренцов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проти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» (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Заява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№ 20372/11)</w:t>
            </w:r>
          </w:p>
        </w:tc>
        <w:tc>
          <w:tcPr>
            <w:tcW w:w="42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Обмеження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свободи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мирних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зібрань</w:t>
            </w:r>
            <w:proofErr w:type="spellEnd"/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51. Суд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вважає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покарання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заявника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організацію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проведення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мирної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демонстрації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становило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втручання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право на свободу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мирних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зібрань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Втручання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становитиме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порушення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11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Конвенції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воно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 «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встановлено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законом»,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переслідує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одну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кілька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легітимних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цілей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зазначених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пункті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2, та не є «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необхідним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демократичному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суспільстві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»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досягнення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такої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цілі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цілей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 Суд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повторює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вислів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«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встановлено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законом»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11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Конвенції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вимагає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лише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того,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щоб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оскаржуваний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захід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певне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підґрунтя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національному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законодавстві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;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він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також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стосується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закону, про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йдеться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. Закон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бути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доступним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зацікавлених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осіб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сформульованим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достатньою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точністю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для того,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щоб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надати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їм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можливість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регулювати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свою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поведінку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бути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здатними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- за потреби,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відповідної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консультації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-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передбачати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тією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мірою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є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розумною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відповідних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обставин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наслідки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які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може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потягнути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собою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дія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62. Суд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повторює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гарантія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встановлена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7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Конвенції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є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істотним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елементом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верховенства </w:t>
            </w: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 xml:space="preserve">права,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посідає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визначне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місце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системі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захисту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Конвенцією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твердження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підкреслюється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тим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вона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допускає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жодних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винятків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навіть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статтею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15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Конвенції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час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війни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або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іншої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суспільної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небезпеки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гарантія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має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тлумачитися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застосовуватися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як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це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випливає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її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предмета і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цілі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такий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спосіб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щоб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забезпечувати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ефективний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захист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свавільного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переслідування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засудження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та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покарання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B969FD" w:rsidRPr="00B969FD" w:rsidRDefault="00B969FD" w:rsidP="00B969F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88.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Розглядаючи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питання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справедливості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провадження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кримінальній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справі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Суд уже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визнавав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що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ігноруючи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конкретний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доречний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і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важливий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аргумент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обвинуваченого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національні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суди не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виконують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своїх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зобов'язань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за пунктом 1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статті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6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Конвенції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(див.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рішення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від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21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квітня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2011 року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справі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«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Нечипорук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і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Йонкало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проти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України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»,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заява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№ 42310/04, п. 280). Суд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вбачає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у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цій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справі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подібний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приклад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невиконання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зазначеного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зобов'язання</w:t>
            </w:r>
            <w:proofErr w:type="spellEnd"/>
            <w:r w:rsidRPr="00B969FD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</w:tc>
      </w:tr>
    </w:tbl>
    <w:p w:rsidR="00C94083" w:rsidRDefault="00C94083"/>
    <w:sectPr w:rsidR="00C94083" w:rsidSect="00B969F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81" w:rsidRDefault="00D83C81" w:rsidP="00B969FD">
      <w:pPr>
        <w:spacing w:after="0" w:line="240" w:lineRule="auto"/>
      </w:pPr>
      <w:r>
        <w:separator/>
      </w:r>
    </w:p>
  </w:endnote>
  <w:endnote w:type="continuationSeparator" w:id="0">
    <w:p w:rsidR="00D83C81" w:rsidRDefault="00D83C81" w:rsidP="00B9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FD" w:rsidRPr="003907D4" w:rsidRDefault="00B969FD" w:rsidP="00B969FD">
    <w:pPr>
      <w:pStyle w:val="a8"/>
      <w:pBdr>
        <w:left w:val="double" w:sz="18" w:space="2" w:color="1F4E79" w:themeColor="accent1" w:themeShade="80"/>
      </w:pBdr>
      <w:rPr>
        <w:rFonts w:ascii="Arial" w:hAnsi="Arial" w:cs="Arial"/>
        <w:b/>
        <w:lang w:val="ru-RU"/>
      </w:rPr>
    </w:pPr>
    <w:r w:rsidRPr="003907D4">
      <w:rPr>
        <w:rFonts w:ascii="Arial" w:hAnsi="Arial" w:cs="Arial"/>
        <w:b/>
        <w:sz w:val="48"/>
      </w:rPr>
      <w:t>FEMIDA</w:t>
    </w:r>
    <w:r w:rsidRPr="003907D4">
      <w:rPr>
        <w:rFonts w:ascii="Arial" w:hAnsi="Arial" w:cs="Arial"/>
        <w:b/>
        <w:lang w:val="ru-RU"/>
      </w:rPr>
      <w:br/>
      <w:t>ПСИХОЛОГИЧЕСКАЯ ПОДГОТОВКА</w:t>
    </w:r>
  </w:p>
  <w:p w:rsidR="00B969FD" w:rsidRPr="00B969FD" w:rsidRDefault="00B969FD" w:rsidP="00B969FD">
    <w:pPr>
      <w:pStyle w:val="aa"/>
      <w:pBdr>
        <w:left w:val="double" w:sz="18" w:space="2" w:color="1F4E79" w:themeColor="accent1" w:themeShade="80"/>
      </w:pBdr>
      <w:rPr>
        <w:rFonts w:ascii="Arial" w:hAnsi="Arial" w:cs="Arial"/>
        <w:b w:val="0"/>
        <w:lang w:val="ru-RU"/>
      </w:rPr>
    </w:pPr>
    <w:r w:rsidRPr="003907D4">
      <w:rPr>
        <w:rFonts w:ascii="Arial" w:hAnsi="Arial" w:cs="Arial"/>
        <w:b w:val="0"/>
        <w:lang w:val="ru-RU"/>
      </w:rPr>
      <w:t>http://meta-consulting.com.ua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81" w:rsidRDefault="00D83C81" w:rsidP="00B969FD">
      <w:pPr>
        <w:spacing w:after="0" w:line="240" w:lineRule="auto"/>
      </w:pPr>
      <w:r>
        <w:separator/>
      </w:r>
    </w:p>
  </w:footnote>
  <w:footnote w:type="continuationSeparator" w:id="0">
    <w:p w:rsidR="00D83C81" w:rsidRDefault="00D83C81" w:rsidP="00B9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FD"/>
    <w:rsid w:val="00B969FD"/>
    <w:rsid w:val="00C94083"/>
    <w:rsid w:val="00D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6886E-32B8-4774-87D6-8577ADE7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9FD"/>
  </w:style>
  <w:style w:type="paragraph" w:styleId="a4">
    <w:name w:val="header"/>
    <w:basedOn w:val="a"/>
    <w:link w:val="a5"/>
    <w:uiPriority w:val="99"/>
    <w:unhideWhenUsed/>
    <w:rsid w:val="00B9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9FD"/>
  </w:style>
  <w:style w:type="paragraph" w:styleId="a6">
    <w:name w:val="footer"/>
    <w:basedOn w:val="a"/>
    <w:link w:val="a7"/>
    <w:uiPriority w:val="99"/>
    <w:unhideWhenUsed/>
    <w:rsid w:val="00B9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9FD"/>
  </w:style>
  <w:style w:type="paragraph" w:styleId="a8">
    <w:name w:val="Title"/>
    <w:basedOn w:val="a"/>
    <w:next w:val="a"/>
    <w:link w:val="a9"/>
    <w:uiPriority w:val="10"/>
    <w:qFormat/>
    <w:rsid w:val="00B969FD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val="en-US" w:eastAsia="ja-JP"/>
    </w:rPr>
  </w:style>
  <w:style w:type="character" w:customStyle="1" w:styleId="a9">
    <w:name w:val="Название Знак"/>
    <w:basedOn w:val="a0"/>
    <w:link w:val="a8"/>
    <w:uiPriority w:val="10"/>
    <w:rsid w:val="00B969FD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val="en-US" w:eastAsia="ja-JP"/>
    </w:rPr>
  </w:style>
  <w:style w:type="paragraph" w:styleId="aa">
    <w:name w:val="Subtitle"/>
    <w:basedOn w:val="a"/>
    <w:next w:val="a"/>
    <w:link w:val="ab"/>
    <w:uiPriority w:val="11"/>
    <w:qFormat/>
    <w:rsid w:val="00B969FD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0"/>
      <w:lang w:val="en-US" w:eastAsia="ja-JP"/>
    </w:rPr>
  </w:style>
  <w:style w:type="character" w:customStyle="1" w:styleId="ab">
    <w:name w:val="Подзаголовок Знак"/>
    <w:basedOn w:val="a0"/>
    <w:link w:val="aa"/>
    <w:uiPriority w:val="11"/>
    <w:rsid w:val="00B969FD"/>
    <w:rPr>
      <w:b/>
      <w:bCs/>
      <w:color w:val="5B9BD5" w:themeColor="accent1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Саченко Александр</dc:creator>
  <cp:keywords/>
  <dc:description/>
  <cp:lastModifiedBy>Админ</cp:lastModifiedBy>
  <cp:revision>1</cp:revision>
  <dcterms:created xsi:type="dcterms:W3CDTF">2017-03-31T05:59:00Z</dcterms:created>
  <dcterms:modified xsi:type="dcterms:W3CDTF">2017-03-31T06:08:00Z</dcterms:modified>
</cp:coreProperties>
</file>